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6E" w:rsidRPr="003C596B" w:rsidRDefault="00017763" w:rsidP="0036596E">
      <w:pPr>
        <w:spacing w:after="200" w:line="360" w:lineRule="auto"/>
        <w:rPr>
          <w:rFonts w:cs="Arial"/>
        </w:rPr>
      </w:pPr>
      <w:bookmarkStart w:id="0" w:name="_GoBack"/>
      <w:bookmarkEnd w:id="0"/>
      <w:r>
        <w:rPr>
          <w:rFonts w:cs="Arial"/>
          <w:sz w:val="18"/>
          <w:szCs w:val="18"/>
        </w:rPr>
        <w:t>N</w:t>
      </w:r>
      <w:r w:rsidR="003C596B" w:rsidRPr="003C596B">
        <w:rPr>
          <w:rFonts w:cs="Arial"/>
          <w:sz w:val="18"/>
          <w:szCs w:val="18"/>
        </w:rPr>
        <w:t>eckarsulm (Deutschland), 19. April 2023</w:t>
      </w:r>
      <w:r w:rsidR="003C596B" w:rsidRPr="003C596B">
        <w:rPr>
          <w:rFonts w:cs="Arial"/>
          <w:u w:val="single"/>
        </w:rPr>
        <w:br/>
      </w:r>
      <w:r w:rsidR="0036596E" w:rsidRPr="003C596B">
        <w:rPr>
          <w:rFonts w:cs="Arial"/>
          <w:u w:val="single"/>
        </w:rPr>
        <w:t>DC Power Hybrid Connector auf der Smart Automation Austria</w:t>
      </w:r>
      <w:r w:rsidR="00A630D8" w:rsidRPr="003C596B">
        <w:rPr>
          <w:rFonts w:cs="Arial"/>
          <w:sz w:val="20"/>
          <w:szCs w:val="20"/>
          <w:u w:val="single"/>
        </w:rPr>
        <w:br/>
      </w:r>
      <w:r w:rsidR="0036596E" w:rsidRPr="003C596B">
        <w:rPr>
          <w:rFonts w:cs="Arial"/>
          <w:b/>
          <w:bCs/>
          <w:sz w:val="32"/>
          <w:szCs w:val="32"/>
        </w:rPr>
        <w:t>Maßgeschneidert für innovatives Laden</w:t>
      </w:r>
      <w:r w:rsidR="00A630D8" w:rsidRPr="003C596B">
        <w:rPr>
          <w:rFonts w:cs="Arial"/>
          <w:b/>
          <w:bCs/>
        </w:rPr>
        <w:br/>
      </w:r>
      <w:r w:rsidR="00A630D8" w:rsidRPr="003C596B">
        <w:rPr>
          <w:rFonts w:cs="Arial"/>
          <w:b/>
          <w:bCs/>
        </w:rPr>
        <w:br/>
      </w:r>
      <w:r w:rsidR="0036596E" w:rsidRPr="003C596B">
        <w:rPr>
          <w:rFonts w:cs="Arial"/>
          <w:b/>
          <w:bCs/>
        </w:rPr>
        <w:t xml:space="preserve">Elektromobilität und intelligente Versorgungsnetze fordern besonders robuste, kompakte und sichere </w:t>
      </w:r>
      <w:proofErr w:type="spellStart"/>
      <w:r w:rsidR="0036596E" w:rsidRPr="003C596B">
        <w:rPr>
          <w:rFonts w:cs="Arial"/>
          <w:b/>
          <w:bCs/>
        </w:rPr>
        <w:t>Konnektivitätslösungen</w:t>
      </w:r>
      <w:proofErr w:type="spellEnd"/>
      <w:r w:rsidR="0036596E" w:rsidRPr="003C596B">
        <w:rPr>
          <w:rFonts w:cs="Arial"/>
          <w:b/>
          <w:bCs/>
        </w:rPr>
        <w:t xml:space="preserve">. binder </w:t>
      </w:r>
      <w:proofErr w:type="spellStart"/>
      <w:r w:rsidR="0036596E" w:rsidRPr="003C596B">
        <w:rPr>
          <w:rFonts w:cs="Arial"/>
          <w:b/>
          <w:bCs/>
        </w:rPr>
        <w:t>solutions</w:t>
      </w:r>
      <w:proofErr w:type="spellEnd"/>
      <w:r w:rsidR="0036596E" w:rsidRPr="003C596B">
        <w:rPr>
          <w:rFonts w:cs="Arial"/>
          <w:b/>
          <w:bCs/>
        </w:rPr>
        <w:t xml:space="preserve"> hat für diese Einsatzfelder eine hybride Schnittstelle entwickelt, die sowohl elektrische Leistung als auch Signale überträgt. Dank verschiedener Optionen und Anschlussmöglichkeiten ist der Steckverbinder applikationsgerecht konfigurierbar.</w:t>
      </w:r>
      <w:r w:rsidR="00A630D8" w:rsidRPr="003C596B">
        <w:rPr>
          <w:rFonts w:cs="Arial"/>
          <w:b/>
          <w:bCs/>
        </w:rPr>
        <w:br/>
      </w:r>
      <w:r w:rsidR="0036596E" w:rsidRPr="003C596B">
        <w:rPr>
          <w:rFonts w:cs="Arial"/>
          <w:b/>
        </w:rPr>
        <w:br/>
      </w:r>
      <w:r w:rsidR="0036596E" w:rsidRPr="003C596B">
        <w:rPr>
          <w:rFonts w:cs="Arial"/>
        </w:rPr>
        <w:t xml:space="preserve">binder, ein führender Anbieter industrieller Rundsteckverbinder, hat mit dem DC Power Hybrid Connector einen bahnbrechenden hybriden Steckverbinder für die Anwendungsfelder E-Mobility und Smart </w:t>
      </w:r>
      <w:proofErr w:type="spellStart"/>
      <w:r w:rsidR="0036596E" w:rsidRPr="003C596B">
        <w:rPr>
          <w:rFonts w:cs="Arial"/>
        </w:rPr>
        <w:t>Energy</w:t>
      </w:r>
      <w:proofErr w:type="spellEnd"/>
      <w:r w:rsidR="0036596E" w:rsidRPr="003C596B">
        <w:rPr>
          <w:rFonts w:cs="Arial"/>
        </w:rPr>
        <w:t xml:space="preserve"> entwickelt. Er ist für die Übertragung sowohl von elektrischer Leistung als auch von Signalen unter anspruchsvollen Umgebungsbedingungen geeignet. binder ist in der Lage, den DC Power Hybrid Connector entsprechend kundenindividuellen Forderungen maßgeschneidert anzupassen.</w:t>
      </w:r>
      <w:r w:rsidR="0036596E" w:rsidRPr="003C596B">
        <w:rPr>
          <w:rFonts w:cs="Arial"/>
        </w:rPr>
        <w:br/>
      </w:r>
      <w:r w:rsidR="0036596E" w:rsidRPr="003C596B">
        <w:rPr>
          <w:rFonts w:cs="Arial"/>
        </w:rPr>
        <w:br/>
      </w:r>
      <w:r w:rsidR="0036596E" w:rsidRPr="003C596B">
        <w:rPr>
          <w:rFonts w:cs="Arial"/>
          <w:b/>
        </w:rPr>
        <w:t>Für intelligente Ladetechnik konzipiert</w:t>
      </w:r>
      <w:r w:rsidR="0036596E" w:rsidRPr="003C596B">
        <w:rPr>
          <w:rFonts w:cs="Arial"/>
        </w:rPr>
        <w:br/>
        <w:t xml:space="preserve">Smart </w:t>
      </w:r>
      <w:proofErr w:type="spellStart"/>
      <w:r w:rsidR="0036596E" w:rsidRPr="003C596B">
        <w:rPr>
          <w:rFonts w:cs="Arial"/>
        </w:rPr>
        <w:t>Grids</w:t>
      </w:r>
      <w:proofErr w:type="spellEnd"/>
      <w:r w:rsidR="0036596E" w:rsidRPr="003C596B">
        <w:rPr>
          <w:rFonts w:cs="Arial"/>
        </w:rPr>
        <w:t>, die intelligenten Versorgungsnetze der Zukunft, orchestrieren die Erzeugung, die Speicherung und den Verbrauch von Energie. Ein wichtiges Ziel ist es, Leistungsschwankungen auszugleichen, die aufgrund der fluktuierenden Energieerzeugung aus erneuerbaren Quellen unvermeidlich sind. Zentrale Komponente sind die Energiespeicher: Bidirektionales Laden und eine neue Art der Vernetzung, die Industrie, Haushalte und Elektrofahrzeuge umfasst, sind die Grundlage künftiger dezentraler Lösungen zur Versorgung mit und Speicherung von Energie. Sie versprechen Versorgungssicherheit und einen erhöhten Komfort für Verbraucher.</w:t>
      </w:r>
    </w:p>
    <w:p w:rsidR="0036596E" w:rsidRPr="003C596B" w:rsidRDefault="0036596E" w:rsidP="0036596E">
      <w:pPr>
        <w:spacing w:after="200" w:line="360" w:lineRule="auto"/>
        <w:rPr>
          <w:rFonts w:cs="Arial"/>
        </w:rPr>
      </w:pPr>
      <w:r w:rsidRPr="003C596B">
        <w:rPr>
          <w:rFonts w:cs="Arial"/>
        </w:rPr>
        <w:t>Sowohl Elektrofahrzeuge als auch Smart-</w:t>
      </w:r>
      <w:proofErr w:type="spellStart"/>
      <w:r w:rsidRPr="003C596B">
        <w:rPr>
          <w:rFonts w:cs="Arial"/>
        </w:rPr>
        <w:t>Grid</w:t>
      </w:r>
      <w:proofErr w:type="spellEnd"/>
      <w:r w:rsidRPr="003C596B">
        <w:rPr>
          <w:rFonts w:cs="Arial"/>
        </w:rPr>
        <w:t xml:space="preserve">-Installationen fordern von Schnittstellenkomponenten Eigenschaften wie hohe Stromtragfähigkeit, sichere </w:t>
      </w:r>
      <w:proofErr w:type="spellStart"/>
      <w:r w:rsidRPr="003C596B">
        <w:rPr>
          <w:rFonts w:cs="Arial"/>
        </w:rPr>
        <w:t>Ver</w:t>
      </w:r>
      <w:proofErr w:type="spellEnd"/>
      <w:r w:rsidRPr="003C596B">
        <w:rPr>
          <w:rFonts w:cs="Arial"/>
        </w:rPr>
        <w:t>- und Entriegelung sowie elektromagnetische Schirmanbindung. Im Zusammenhang mit Energiespeichern müssen insbesondere Steckverbinder für eine platzsparende Integration, sichere Bedienung und schnelle, unkomplizierte Akkuwechsel ausgelegt sein. Applikationsbedingt sind hier Resistenz gegen Nässe, Schmutz, Berührung und stark schwankende Umgebungstemperaturen gefordert. Außerdem erwarten Anwender eine besonders lange Lebensdauer der Komponenten.</w:t>
      </w:r>
    </w:p>
    <w:p w:rsidR="0036596E" w:rsidRPr="003C596B" w:rsidRDefault="0036596E" w:rsidP="0036596E">
      <w:pPr>
        <w:spacing w:after="200" w:line="360" w:lineRule="auto"/>
        <w:rPr>
          <w:rFonts w:cs="Arial"/>
        </w:rPr>
      </w:pPr>
      <w:r w:rsidRPr="003C596B">
        <w:rPr>
          <w:rFonts w:cs="Arial"/>
        </w:rPr>
        <w:t xml:space="preserve">Mit dem DC Power Hybrid Connector ist es den Entwicklern bei binder </w:t>
      </w:r>
      <w:proofErr w:type="spellStart"/>
      <w:r w:rsidRPr="003C596B">
        <w:rPr>
          <w:rFonts w:cs="Arial"/>
        </w:rPr>
        <w:t>solutions</w:t>
      </w:r>
      <w:proofErr w:type="spellEnd"/>
      <w:r w:rsidRPr="003C596B">
        <w:rPr>
          <w:rFonts w:cs="Arial"/>
        </w:rPr>
        <w:t>, einer binder B</w:t>
      </w:r>
      <w:r w:rsidR="00CC56CB" w:rsidRPr="003C596B">
        <w:rPr>
          <w:rFonts w:cs="Arial"/>
        </w:rPr>
        <w:t>usiness Unit mit Sitz in Füssen (</w:t>
      </w:r>
      <w:r w:rsidRPr="003C596B">
        <w:rPr>
          <w:rFonts w:cs="Arial"/>
        </w:rPr>
        <w:t>Deutschland</w:t>
      </w:r>
      <w:r w:rsidR="00CC56CB" w:rsidRPr="003C596B">
        <w:rPr>
          <w:rFonts w:cs="Arial"/>
        </w:rPr>
        <w:t>)</w:t>
      </w:r>
      <w:r w:rsidRPr="003C596B">
        <w:rPr>
          <w:rFonts w:cs="Arial"/>
        </w:rPr>
        <w:t xml:space="preserve">, gelungen, einen kompakten hybriden Steckverbinder </w:t>
      </w:r>
      <w:r w:rsidRPr="003C596B">
        <w:rPr>
          <w:rFonts w:cs="Arial"/>
        </w:rPr>
        <w:lastRenderedPageBreak/>
        <w:t xml:space="preserve">zu kreieren, der diese Anforderungen vollumfänglich erfüllt. binder </w:t>
      </w:r>
      <w:proofErr w:type="spellStart"/>
      <w:r w:rsidRPr="003C596B">
        <w:rPr>
          <w:rFonts w:cs="Arial"/>
        </w:rPr>
        <w:t>solutions</w:t>
      </w:r>
      <w:proofErr w:type="spellEnd"/>
      <w:r w:rsidRPr="003C596B">
        <w:rPr>
          <w:rFonts w:cs="Arial"/>
        </w:rPr>
        <w:t xml:space="preserve"> ist darauf spezialisiert, maßgeschneiderte Lösungen bis zur Serienreife zu entwickeln. Entwicklungskompetenz verschmilzt hier mit modernsten Produktionstechnologien, um optimierte Serienprodukte auf höchstem Niveau hervorzubringen.</w:t>
      </w:r>
      <w:r w:rsidRPr="003C596B">
        <w:rPr>
          <w:rFonts w:cs="Arial"/>
        </w:rPr>
        <w:br/>
      </w:r>
      <w:r w:rsidRPr="003C596B">
        <w:rPr>
          <w:rFonts w:cs="Arial"/>
        </w:rPr>
        <w:br/>
      </w:r>
      <w:r w:rsidRPr="003C596B">
        <w:rPr>
          <w:rFonts w:cs="Arial"/>
          <w:b/>
        </w:rPr>
        <w:t>Kompakt und sicher – für Power und Signale</w:t>
      </w:r>
      <w:r w:rsidRPr="003C596B">
        <w:rPr>
          <w:rFonts w:cs="Arial"/>
        </w:rPr>
        <w:br/>
        <w:t>Neben 2 Polen für die Stromversorgung mit 500 V bei bis zu 100 A Dauerstrom stellt der DC Power Hybrid Connector 12 Signalkontakte für 14 V bei 5 A sowie 2 weitere Pins für optionale Bordnetzverbindungen zur Verfügung. Die Einbauvariante des Steckverbinders lässt sich je nach Bedarf mit Schraubklemm-, Einpress- oder Lötanschlüssen ausstatten.</w:t>
      </w:r>
    </w:p>
    <w:p w:rsidR="00DF7E44" w:rsidRPr="003C596B" w:rsidRDefault="0036596E">
      <w:pPr>
        <w:spacing w:after="200" w:line="360" w:lineRule="auto"/>
        <w:rPr>
          <w:rFonts w:cs="Arial"/>
        </w:rPr>
      </w:pPr>
      <w:r w:rsidRPr="003C596B">
        <w:rPr>
          <w:rFonts w:cs="Arial"/>
        </w:rPr>
        <w:t>In gestecktem Zustand entspricht die Schnittstelle der Schutzart IP69K, wie sie anspruchsvolle Outdoor-Anwendungen erfordern. Eine Verriegelung mittels Magneten ist optional möglich. Der Betriebstemperaturbereich erstreckt sich von -25 °C bis +85 °C, und die Lebensdauer wird mit 10.000 und mehr Steckzyklen angegeben. Außerdem wurde der EMV-geschützte Steckverbinder unter besonderer Berücksichtigung der Bediensicherheit gestaltet. Der DC Power Hybrid Connector ist für die sicherheitsrelevante HVIL-Systemintegration (High-</w:t>
      </w:r>
      <w:proofErr w:type="spellStart"/>
      <w:r w:rsidRPr="003C596B">
        <w:rPr>
          <w:rFonts w:cs="Arial"/>
        </w:rPr>
        <w:t>Voltage</w:t>
      </w:r>
      <w:proofErr w:type="spellEnd"/>
      <w:r w:rsidRPr="003C596B">
        <w:rPr>
          <w:rFonts w:cs="Arial"/>
        </w:rPr>
        <w:t xml:space="preserve"> Interlock) in Hybrid- und Elektrofahrzeugen vorgesehen.</w:t>
      </w:r>
      <w:r w:rsidRPr="003C596B">
        <w:rPr>
          <w:rFonts w:cs="Arial"/>
        </w:rPr>
        <w:br/>
      </w:r>
      <w:r w:rsidRPr="003C596B">
        <w:rPr>
          <w:rFonts w:cs="Arial"/>
        </w:rPr>
        <w:br/>
      </w:r>
      <w:r w:rsidRPr="003C596B">
        <w:rPr>
          <w:rFonts w:cs="Arial"/>
          <w:b/>
        </w:rPr>
        <w:t>binder auf der Smart Automation Austria</w:t>
      </w:r>
      <w:r w:rsidRPr="003C596B">
        <w:rPr>
          <w:rFonts w:cs="Arial"/>
        </w:rPr>
        <w:br/>
        <w:t>binder Austria präsentiert den DC Power Hybrid Connector</w:t>
      </w:r>
      <w:r w:rsidR="00CC56CB" w:rsidRPr="003C596B">
        <w:rPr>
          <w:rFonts w:cs="Arial"/>
        </w:rPr>
        <w:t xml:space="preserve"> </w:t>
      </w:r>
      <w:r w:rsidR="00CC56CB" w:rsidRPr="003C596B">
        <w:rPr>
          <w:rFonts w:cs="Arial"/>
          <w:b/>
        </w:rPr>
        <w:t>vom 23. bis 25. Mai 2023</w:t>
      </w:r>
      <w:r w:rsidRPr="003C596B">
        <w:rPr>
          <w:rFonts w:cs="Arial"/>
        </w:rPr>
        <w:t xml:space="preserve"> auf der Messe </w:t>
      </w:r>
      <w:r w:rsidRPr="003C596B">
        <w:rPr>
          <w:rFonts w:cs="Arial"/>
          <w:b/>
        </w:rPr>
        <w:t>Smart Automation Austria</w:t>
      </w:r>
      <w:r w:rsidR="00CC56CB" w:rsidRPr="003C596B">
        <w:rPr>
          <w:rFonts w:cs="Arial"/>
        </w:rPr>
        <w:t xml:space="preserve"> </w:t>
      </w:r>
      <w:r w:rsidRPr="003C596B">
        <w:rPr>
          <w:rFonts w:cs="Arial"/>
        </w:rPr>
        <w:t>im Design Center Linz. Wir freuen uns, Sie dort am binder Stand 423 zu begrüßen!</w:t>
      </w:r>
      <w:r w:rsidRPr="003C596B">
        <w:rPr>
          <w:rFonts w:cs="Arial"/>
        </w:rPr>
        <w:br/>
      </w:r>
      <w:r w:rsidRPr="003C596B">
        <w:rPr>
          <w:rFonts w:cs="Arial"/>
        </w:rPr>
        <w:br/>
      </w:r>
      <w:r w:rsidR="00A630D8" w:rsidRPr="003C596B">
        <w:rPr>
          <w:rFonts w:cs="Arial"/>
          <w:b/>
          <w:bCs/>
        </w:rPr>
        <w:t>Über binder</w:t>
      </w:r>
      <w:r w:rsidR="00A630D8" w:rsidRPr="003C596B">
        <w:rPr>
          <w:rFonts w:cs="Arial"/>
        </w:rPr>
        <w:br/>
      </w:r>
      <w:proofErr w:type="spellStart"/>
      <w:r w:rsidR="00A630D8" w:rsidRPr="003C596B">
        <w:rPr>
          <w:rFonts w:cs="Arial"/>
        </w:rPr>
        <w:t>binder</w:t>
      </w:r>
      <w:proofErr w:type="spellEnd"/>
      <w:r w:rsidR="00A630D8" w:rsidRPr="003C596B">
        <w:rPr>
          <w:rFonts w:cs="Arial"/>
        </w:rPr>
        <w:t xml:space="preserve">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rsidR="00DF7E44" w:rsidRPr="003C596B" w:rsidRDefault="00A630D8" w:rsidP="00750D8A">
      <w:pPr>
        <w:spacing w:line="360" w:lineRule="auto"/>
        <w:rPr>
          <w:rFonts w:cs="Arial"/>
        </w:rPr>
      </w:pPr>
      <w:r w:rsidRPr="003C596B">
        <w:rPr>
          <w:rFonts w:cs="Arial"/>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3C596B">
        <w:rPr>
          <w:rFonts w:cs="Arial"/>
        </w:rPr>
        <w:br/>
      </w:r>
      <w:r w:rsidR="003C596B" w:rsidRPr="003C596B">
        <w:rPr>
          <w:rFonts w:cs="Arial"/>
        </w:rPr>
        <w:br/>
      </w:r>
      <w:r w:rsidR="003C596B" w:rsidRPr="003C596B">
        <w:rPr>
          <w:rFonts w:cs="Arial"/>
        </w:rPr>
        <w:br/>
      </w:r>
      <w:r w:rsidRPr="003C596B">
        <w:rPr>
          <w:rFonts w:cs="Arial"/>
        </w:rPr>
        <w:br/>
      </w:r>
      <w:r w:rsidRPr="003C596B">
        <w:rPr>
          <w:rFonts w:cs="Arial"/>
          <w:u w:val="single"/>
        </w:rPr>
        <w:lastRenderedPageBreak/>
        <w:t>Bildunterschrift:</w:t>
      </w:r>
      <w:r w:rsidRPr="003C596B">
        <w:rPr>
          <w:rFonts w:cs="Arial"/>
          <w:u w:val="single"/>
        </w:rPr>
        <w:br/>
      </w:r>
      <w:r w:rsidR="00CC56CB" w:rsidRPr="003C596B">
        <w:rPr>
          <w:rFonts w:cs="Arial"/>
        </w:rPr>
        <w:t>Die kompakte hybride Schnittstelle ist für den Einsatz in der Elektromobilität sowie in intelligenten Versorgungsnetzen prädestiniert.</w:t>
      </w:r>
      <w:r w:rsidRPr="003C596B">
        <w:rPr>
          <w:rFonts w:cs="Arial"/>
        </w:rPr>
        <w:t xml:space="preserve"> Foto: binder</w:t>
      </w:r>
      <w:r w:rsidRPr="003C596B">
        <w:rPr>
          <w:rFonts w:cs="Arial"/>
          <w:shd w:val="clear" w:color="auto" w:fill="FFFF00"/>
        </w:rPr>
        <w:br/>
      </w:r>
      <w:r w:rsidR="003C596B" w:rsidRPr="003C596B">
        <w:rPr>
          <w:rFonts w:cs="Arial"/>
          <w:u w:val="single"/>
        </w:rPr>
        <w:br/>
      </w:r>
      <w:r w:rsidRPr="003C596B">
        <w:rPr>
          <w:rFonts w:cs="Arial"/>
          <w:u w:val="single"/>
        </w:rPr>
        <w:t>Anwendungsgebiete:</w:t>
      </w:r>
    </w:p>
    <w:p w:rsidR="00750D8A" w:rsidRPr="003C596B" w:rsidRDefault="00750D8A" w:rsidP="00750D8A">
      <w:pPr>
        <w:pStyle w:val="Listenabsatz"/>
        <w:widowControl/>
        <w:numPr>
          <w:ilvl w:val="0"/>
          <w:numId w:val="2"/>
        </w:numPr>
        <w:spacing w:line="360" w:lineRule="auto"/>
        <w:rPr>
          <w:rFonts w:ascii="Arial" w:hAnsi="Arial" w:cs="Arial"/>
          <w:lang w:val="de-DE"/>
        </w:rPr>
      </w:pPr>
      <w:r w:rsidRPr="003C596B">
        <w:rPr>
          <w:rFonts w:ascii="Arial" w:hAnsi="Arial" w:cs="Arial"/>
          <w:lang w:val="de-DE"/>
        </w:rPr>
        <w:t>E-Mobility</w:t>
      </w:r>
    </w:p>
    <w:p w:rsidR="00750D8A" w:rsidRPr="003C596B" w:rsidRDefault="00750D8A" w:rsidP="00750D8A">
      <w:pPr>
        <w:pStyle w:val="Listenabsatz"/>
        <w:numPr>
          <w:ilvl w:val="0"/>
          <w:numId w:val="2"/>
        </w:numPr>
        <w:spacing w:line="360" w:lineRule="auto"/>
        <w:rPr>
          <w:rFonts w:ascii="Arial" w:hAnsi="Arial" w:cs="Arial"/>
          <w:lang w:val="de-DE"/>
        </w:rPr>
      </w:pPr>
      <w:r w:rsidRPr="003C596B">
        <w:rPr>
          <w:rFonts w:ascii="Arial" w:hAnsi="Arial" w:cs="Arial"/>
          <w:lang w:val="de-DE"/>
        </w:rPr>
        <w:t xml:space="preserve">Smart </w:t>
      </w:r>
      <w:proofErr w:type="spellStart"/>
      <w:r w:rsidRPr="003C596B">
        <w:rPr>
          <w:rFonts w:ascii="Arial" w:hAnsi="Arial" w:cs="Arial"/>
          <w:lang w:val="de-DE"/>
        </w:rPr>
        <w:t>Grid</w:t>
      </w:r>
      <w:proofErr w:type="spellEnd"/>
    </w:p>
    <w:p w:rsidR="00DF7E44" w:rsidRPr="003C596B" w:rsidRDefault="00A630D8" w:rsidP="00750D8A">
      <w:pPr>
        <w:spacing w:line="360" w:lineRule="auto"/>
        <w:rPr>
          <w:rFonts w:cs="Arial"/>
          <w:u w:val="single"/>
        </w:rPr>
      </w:pPr>
      <w:r w:rsidRPr="003C596B">
        <w:rPr>
          <w:rFonts w:cs="Arial"/>
        </w:rPr>
        <w:br/>
      </w:r>
      <w:r w:rsidRPr="003C596B">
        <w:rPr>
          <w:rFonts w:cs="Arial"/>
          <w:u w:val="single"/>
        </w:rPr>
        <w:t>Eigenschaften:</w:t>
      </w:r>
    </w:p>
    <w:p w:rsidR="00CC56CB" w:rsidRPr="003C596B" w:rsidRDefault="00CC56CB" w:rsidP="00750D8A">
      <w:pPr>
        <w:pStyle w:val="Listenabsatz"/>
        <w:widowControl/>
        <w:numPr>
          <w:ilvl w:val="0"/>
          <w:numId w:val="2"/>
        </w:numPr>
        <w:spacing w:line="360" w:lineRule="auto"/>
        <w:rPr>
          <w:rFonts w:ascii="Arial" w:hAnsi="Arial" w:cs="Arial"/>
          <w:lang w:val="de-DE"/>
        </w:rPr>
      </w:pPr>
      <w:r w:rsidRPr="003C596B">
        <w:rPr>
          <w:rFonts w:ascii="Arial" w:hAnsi="Arial" w:cs="Arial"/>
          <w:lang w:val="de-DE"/>
        </w:rPr>
        <w:t>Hybridsteckverbinder</w:t>
      </w:r>
    </w:p>
    <w:p w:rsidR="00CC56CB" w:rsidRPr="003C596B" w:rsidRDefault="00CC56CB" w:rsidP="00750D8A">
      <w:pPr>
        <w:pStyle w:val="Listenabsatz"/>
        <w:widowControl/>
        <w:numPr>
          <w:ilvl w:val="0"/>
          <w:numId w:val="2"/>
        </w:numPr>
        <w:spacing w:line="360" w:lineRule="auto"/>
        <w:rPr>
          <w:rFonts w:ascii="Arial" w:hAnsi="Arial" w:cs="Arial"/>
          <w:lang w:val="de-DE"/>
        </w:rPr>
      </w:pPr>
      <w:r w:rsidRPr="003C596B">
        <w:rPr>
          <w:rFonts w:ascii="Arial" w:hAnsi="Arial" w:cs="Arial"/>
          <w:lang w:val="de-DE"/>
        </w:rPr>
        <w:t>Verriegelung: magnetisch</w:t>
      </w:r>
    </w:p>
    <w:p w:rsidR="00CC56CB" w:rsidRPr="003C596B" w:rsidRDefault="00CC56CB" w:rsidP="00750D8A">
      <w:pPr>
        <w:pStyle w:val="Listenabsatz"/>
        <w:widowControl/>
        <w:numPr>
          <w:ilvl w:val="0"/>
          <w:numId w:val="2"/>
        </w:numPr>
        <w:spacing w:line="360" w:lineRule="auto"/>
        <w:rPr>
          <w:rFonts w:ascii="Arial" w:hAnsi="Arial" w:cs="Arial"/>
          <w:lang w:val="de-DE"/>
        </w:rPr>
      </w:pPr>
      <w:r w:rsidRPr="003C596B">
        <w:rPr>
          <w:rFonts w:ascii="Arial" w:hAnsi="Arial" w:cs="Arial"/>
          <w:lang w:val="de-DE"/>
        </w:rPr>
        <w:t>Anschlusstechnik: Schraubklemme, Einpressen, Lötanschluss</w:t>
      </w:r>
    </w:p>
    <w:p w:rsidR="00CC56CB" w:rsidRPr="003C596B" w:rsidRDefault="00CC56CB" w:rsidP="00750D8A">
      <w:pPr>
        <w:pStyle w:val="Listenabsatz"/>
        <w:widowControl/>
        <w:numPr>
          <w:ilvl w:val="0"/>
          <w:numId w:val="2"/>
        </w:numPr>
        <w:spacing w:line="360" w:lineRule="auto"/>
        <w:rPr>
          <w:rFonts w:ascii="Arial" w:hAnsi="Arial" w:cs="Arial"/>
          <w:lang w:val="de-DE"/>
        </w:rPr>
      </w:pPr>
      <w:proofErr w:type="spellStart"/>
      <w:r w:rsidRPr="003C596B">
        <w:rPr>
          <w:rFonts w:ascii="Arial" w:hAnsi="Arial" w:cs="Arial"/>
          <w:lang w:val="de-DE"/>
        </w:rPr>
        <w:t>Polzahl</w:t>
      </w:r>
      <w:proofErr w:type="spellEnd"/>
      <w:r w:rsidRPr="003C596B">
        <w:rPr>
          <w:rFonts w:ascii="Arial" w:hAnsi="Arial" w:cs="Arial"/>
          <w:lang w:val="de-DE"/>
        </w:rPr>
        <w:t xml:space="preserve">: 2 für Power, 12 für Signale, 2 für </w:t>
      </w:r>
      <w:proofErr w:type="spellStart"/>
      <w:r w:rsidRPr="003C596B">
        <w:rPr>
          <w:rFonts w:ascii="Arial" w:hAnsi="Arial" w:cs="Arial"/>
          <w:lang w:val="de-DE"/>
        </w:rPr>
        <w:t>Bordnetz</w:t>
      </w:r>
      <w:proofErr w:type="spellEnd"/>
    </w:p>
    <w:p w:rsidR="00CC56CB" w:rsidRPr="003C596B" w:rsidRDefault="00CC56CB" w:rsidP="00750D8A">
      <w:pPr>
        <w:pStyle w:val="Listenabsatz"/>
        <w:widowControl/>
        <w:numPr>
          <w:ilvl w:val="0"/>
          <w:numId w:val="2"/>
        </w:numPr>
        <w:spacing w:line="360" w:lineRule="auto"/>
        <w:rPr>
          <w:rFonts w:ascii="Arial" w:hAnsi="Arial" w:cs="Arial"/>
          <w:lang w:val="de-DE"/>
        </w:rPr>
      </w:pPr>
      <w:r w:rsidRPr="003C596B">
        <w:rPr>
          <w:rFonts w:ascii="Arial" w:hAnsi="Arial" w:cs="Arial"/>
          <w:lang w:val="de-DE"/>
        </w:rPr>
        <w:t>Bemessungsspannung: 500 V (Power), 14 V (Signale)</w:t>
      </w:r>
    </w:p>
    <w:p w:rsidR="00CC56CB" w:rsidRPr="003C596B" w:rsidRDefault="00CC56CB" w:rsidP="00750D8A">
      <w:pPr>
        <w:pStyle w:val="Listenabsatz"/>
        <w:widowControl/>
        <w:numPr>
          <w:ilvl w:val="0"/>
          <w:numId w:val="2"/>
        </w:numPr>
        <w:spacing w:line="360" w:lineRule="auto"/>
        <w:rPr>
          <w:rFonts w:ascii="Arial" w:hAnsi="Arial" w:cs="Arial"/>
          <w:lang w:val="de-DE"/>
        </w:rPr>
      </w:pPr>
      <w:r w:rsidRPr="003C596B">
        <w:rPr>
          <w:rFonts w:ascii="Arial" w:hAnsi="Arial" w:cs="Arial"/>
          <w:lang w:val="de-DE"/>
        </w:rPr>
        <w:t>Bemessungsstrom: 100 A (Power), 5 A (Signale)</w:t>
      </w:r>
    </w:p>
    <w:p w:rsidR="00DF7E44" w:rsidRPr="003C596B" w:rsidRDefault="00CC56CB" w:rsidP="00750D8A">
      <w:pPr>
        <w:pStyle w:val="Listenabsatz"/>
        <w:widowControl/>
        <w:numPr>
          <w:ilvl w:val="0"/>
          <w:numId w:val="2"/>
        </w:numPr>
        <w:spacing w:line="360" w:lineRule="auto"/>
        <w:rPr>
          <w:rFonts w:ascii="Arial" w:hAnsi="Arial" w:cs="Arial"/>
          <w:lang w:val="de-DE"/>
        </w:rPr>
      </w:pPr>
      <w:r w:rsidRPr="003C596B">
        <w:rPr>
          <w:rFonts w:ascii="Arial" w:hAnsi="Arial" w:cs="Arial"/>
          <w:lang w:val="de-DE"/>
        </w:rPr>
        <w:t>Schutzart: bis IP69K</w:t>
      </w:r>
    </w:p>
    <w:p w:rsidR="00CC56CB" w:rsidRPr="003C596B" w:rsidRDefault="00750D8A" w:rsidP="00750D8A">
      <w:pPr>
        <w:pStyle w:val="Listenabsatz"/>
        <w:widowControl/>
        <w:numPr>
          <w:ilvl w:val="0"/>
          <w:numId w:val="2"/>
        </w:numPr>
        <w:spacing w:line="360" w:lineRule="auto"/>
        <w:rPr>
          <w:rFonts w:ascii="Arial" w:hAnsi="Arial" w:cs="Arial"/>
          <w:lang w:val="de-DE"/>
        </w:rPr>
      </w:pPr>
      <w:r w:rsidRPr="003C596B">
        <w:rPr>
          <w:rFonts w:ascii="Arial" w:hAnsi="Arial" w:cs="Arial"/>
          <w:lang w:val="de-DE"/>
        </w:rPr>
        <w:t>Zahl der Steckzyklen: ≥10.000 mit Dichtungswechsel</w:t>
      </w:r>
    </w:p>
    <w:p w:rsidR="00DF7E44" w:rsidRPr="003C596B" w:rsidRDefault="00750D8A" w:rsidP="00750D8A">
      <w:pPr>
        <w:pStyle w:val="Listenabsatz"/>
        <w:widowControl/>
        <w:numPr>
          <w:ilvl w:val="0"/>
          <w:numId w:val="2"/>
        </w:numPr>
        <w:spacing w:line="360" w:lineRule="auto"/>
        <w:rPr>
          <w:rFonts w:ascii="Arial" w:hAnsi="Arial" w:cs="Arial"/>
          <w:lang w:val="de-DE"/>
        </w:rPr>
      </w:pPr>
      <w:r w:rsidRPr="003C596B">
        <w:rPr>
          <w:rFonts w:ascii="Arial" w:hAnsi="Arial" w:cs="Arial"/>
          <w:lang w:val="de-DE"/>
        </w:rPr>
        <w:t>Besonderheit: HVIL-Integration</w:t>
      </w:r>
    </w:p>
    <w:p w:rsidR="00750D8A" w:rsidRPr="003C596B" w:rsidRDefault="00750D8A" w:rsidP="00750D8A">
      <w:pPr>
        <w:widowControl/>
        <w:spacing w:line="360" w:lineRule="auto"/>
        <w:rPr>
          <w:rFonts w:cs="Arial"/>
        </w:rPr>
      </w:pPr>
    </w:p>
    <w:p w:rsidR="00DF7E44" w:rsidRPr="003C596B" w:rsidRDefault="00A630D8" w:rsidP="00750D8A">
      <w:pPr>
        <w:spacing w:after="200" w:line="360" w:lineRule="auto"/>
        <w:rPr>
          <w:rFonts w:cs="Arial"/>
        </w:rPr>
      </w:pPr>
      <w:r w:rsidRPr="003C596B">
        <w:rPr>
          <w:rFonts w:cs="Arial"/>
          <w:u w:val="single"/>
        </w:rPr>
        <w:t>Firmenanschrift:</w:t>
      </w:r>
      <w:r w:rsidRPr="003C596B">
        <w:rPr>
          <w:rFonts w:cs="Arial"/>
          <w:u w:val="single"/>
        </w:rPr>
        <w:br/>
      </w:r>
      <w:r w:rsidRPr="003C596B">
        <w:rPr>
          <w:rFonts w:cs="Arial"/>
        </w:rPr>
        <w:t xml:space="preserve">Franz Binder GmbH &amp; Co. </w:t>
      </w:r>
      <w:r w:rsidRPr="003C596B">
        <w:rPr>
          <w:rFonts w:cs="Arial"/>
        </w:rPr>
        <w:br/>
        <w:t>Elektrische Bauelemente KG</w:t>
      </w:r>
      <w:r w:rsidRPr="003C596B">
        <w:rPr>
          <w:rFonts w:cs="Arial"/>
          <w:u w:val="single"/>
        </w:rPr>
        <w:br/>
      </w:r>
      <w:r w:rsidRPr="003C596B">
        <w:rPr>
          <w:rFonts w:cs="Arial"/>
        </w:rPr>
        <w:t>Rötelstraße 27</w:t>
      </w:r>
      <w:r w:rsidRPr="003C596B">
        <w:rPr>
          <w:rFonts w:cs="Arial"/>
          <w:u w:val="single"/>
        </w:rPr>
        <w:br/>
      </w:r>
      <w:r w:rsidRPr="003C596B">
        <w:rPr>
          <w:rFonts w:cs="Arial"/>
        </w:rPr>
        <w:t>74172 Neckarsulm</w:t>
      </w:r>
      <w:r w:rsidRPr="003C596B">
        <w:rPr>
          <w:rFonts w:cs="Arial"/>
          <w:u w:val="single"/>
        </w:rPr>
        <w:br/>
      </w:r>
      <w:r w:rsidRPr="003C596B">
        <w:rPr>
          <w:rFonts w:cs="Arial"/>
        </w:rPr>
        <w:t>Tel. +49 (0) 7132 325-0</w:t>
      </w:r>
      <w:r w:rsidRPr="003C596B">
        <w:rPr>
          <w:rFonts w:cs="Arial"/>
          <w:u w:val="single"/>
        </w:rPr>
        <w:br/>
      </w:r>
      <w:r w:rsidRPr="003C596B">
        <w:rPr>
          <w:rFonts w:cs="Arial"/>
        </w:rPr>
        <w:t>Fax +49 (0) 7132 325-150</w:t>
      </w:r>
      <w:r w:rsidRPr="003C596B">
        <w:rPr>
          <w:rFonts w:cs="Arial"/>
          <w:u w:val="single"/>
        </w:rPr>
        <w:br/>
      </w:r>
      <w:r w:rsidRPr="003C596B">
        <w:rPr>
          <w:rFonts w:cs="Arial"/>
        </w:rPr>
        <w:t>info@binder-connector.de</w:t>
      </w:r>
      <w:r w:rsidRPr="003C596B">
        <w:rPr>
          <w:rFonts w:cs="Arial"/>
          <w:u w:val="single"/>
        </w:rPr>
        <w:br/>
      </w:r>
      <w:r w:rsidRPr="003C596B">
        <w:rPr>
          <w:rFonts w:cs="Arial"/>
        </w:rPr>
        <w:t>www.binder-connector.de</w:t>
      </w:r>
      <w:r w:rsidRPr="003C596B">
        <w:rPr>
          <w:rFonts w:cs="Arial"/>
          <w:u w:val="single"/>
        </w:rPr>
        <w:br/>
      </w:r>
      <w:r w:rsidRPr="003C596B">
        <w:rPr>
          <w:rFonts w:cs="Arial"/>
          <w:u w:val="single"/>
        </w:rPr>
        <w:br/>
        <w:t>Pressekontakt:</w:t>
      </w:r>
      <w:r w:rsidRPr="003C596B">
        <w:rPr>
          <w:rFonts w:cs="Arial"/>
          <w:u w:val="single"/>
        </w:rPr>
        <w:br/>
      </w:r>
      <w:r w:rsidRPr="003C596B">
        <w:rPr>
          <w:rFonts w:cs="Arial"/>
        </w:rPr>
        <w:t>Patrick Heckler</w:t>
      </w:r>
      <w:r w:rsidRPr="003C596B">
        <w:rPr>
          <w:rFonts w:cs="Arial"/>
          <w:u w:val="single"/>
        </w:rPr>
        <w:br/>
      </w:r>
      <w:r w:rsidRPr="003C596B">
        <w:rPr>
          <w:rFonts w:cs="Arial"/>
        </w:rPr>
        <w:t>Tel. +49 (0) 7132 325-448</w:t>
      </w:r>
      <w:r w:rsidRPr="003C596B">
        <w:rPr>
          <w:rFonts w:cs="Arial"/>
          <w:u w:val="single"/>
        </w:rPr>
        <w:br/>
      </w:r>
      <w:r w:rsidRPr="003C596B">
        <w:rPr>
          <w:rFonts w:cs="Arial"/>
        </w:rPr>
        <w:t>E-Mail p.heckler@binder-connector.de</w:t>
      </w:r>
    </w:p>
    <w:sectPr w:rsidR="00DF7E44" w:rsidRPr="003C596B">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7D" w:rsidRDefault="00A630D8">
      <w:r>
        <w:separator/>
      </w:r>
    </w:p>
  </w:endnote>
  <w:endnote w:type="continuationSeparator" w:id="0">
    <w:p w:rsidR="00985E7D" w:rsidRDefault="00A6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DF7E4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7D" w:rsidRDefault="00A630D8">
      <w:r>
        <w:separator/>
      </w:r>
    </w:p>
  </w:footnote>
  <w:footnote w:type="continuationSeparator" w:id="0">
    <w:p w:rsidR="00985E7D" w:rsidRDefault="00A6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1C01E7"/>
    <w:multiLevelType w:val="hybridMultilevel"/>
    <w:tmpl w:val="D18091E0"/>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17763"/>
    <w:rsid w:val="00094D5F"/>
    <w:rsid w:val="0036596E"/>
    <w:rsid w:val="003C596B"/>
    <w:rsid w:val="00750D8A"/>
    <w:rsid w:val="00985E7D"/>
    <w:rsid w:val="009C507C"/>
    <w:rsid w:val="00A630D8"/>
    <w:rsid w:val="00CC56CB"/>
    <w:rsid w:val="00DF7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F01B"/>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Heckler, Patrick</cp:lastModifiedBy>
  <cp:revision>4</cp:revision>
  <dcterms:created xsi:type="dcterms:W3CDTF">2023-04-18T15:08:00Z</dcterms:created>
  <dcterms:modified xsi:type="dcterms:W3CDTF">2023-04-19T07:45:00Z</dcterms:modified>
</cp:coreProperties>
</file>